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34A" w:rsidRPr="00A877CB" w:rsidRDefault="00D9034A" w:rsidP="00D9034A">
      <w:pPr>
        <w:tabs>
          <w:tab w:val="center" w:pos="2160"/>
          <w:tab w:val="center" w:pos="75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84679">
        <w:rPr>
          <w:rFonts w:ascii="Times New Roman" w:hAnsi="Times New Roman" w:cs="Times New Roman"/>
          <w:sz w:val="28"/>
          <w:szCs w:val="28"/>
        </w:rPr>
        <w:t xml:space="preserve">   </w:t>
      </w:r>
      <w:r w:rsidRPr="00A877CB">
        <w:rPr>
          <w:rFonts w:ascii="Times New Roman" w:hAnsi="Times New Roman" w:cs="Times New Roman"/>
          <w:sz w:val="28"/>
          <w:szCs w:val="28"/>
        </w:rPr>
        <w:t>SỞ Y TẾ BẠ</w:t>
      </w:r>
      <w:r>
        <w:rPr>
          <w:rFonts w:ascii="Times New Roman" w:hAnsi="Times New Roman" w:cs="Times New Roman"/>
          <w:sz w:val="28"/>
          <w:szCs w:val="28"/>
        </w:rPr>
        <w:t xml:space="preserve">C LIÊU         </w:t>
      </w:r>
      <w:r w:rsidR="0088467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877CB">
        <w:rPr>
          <w:rFonts w:ascii="Times New Roman" w:hAnsi="Times New Roman" w:cs="Times New Roman"/>
          <w:b/>
          <w:bCs/>
          <w:sz w:val="28"/>
          <w:szCs w:val="28"/>
        </w:rPr>
        <w:t>CỘNG HÒA XÃ HỘI CHỦ NGHĨA VIỆT NAM TRUNG TÂM Y TẾ HỒ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NG DÂN    </w:t>
      </w:r>
      <w:r w:rsidR="00884679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7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77CB">
        <w:rPr>
          <w:rFonts w:ascii="Times New Roman" w:hAnsi="Times New Roman" w:cs="Times New Roman"/>
          <w:b/>
          <w:bCs/>
          <w:sz w:val="28"/>
          <w:szCs w:val="28"/>
        </w:rPr>
        <w:t>Độc</w:t>
      </w:r>
      <w:proofErr w:type="spellEnd"/>
      <w:r w:rsidRPr="00A87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A877CB">
        <w:rPr>
          <w:rFonts w:ascii="Times New Roman" w:hAnsi="Times New Roman" w:cs="Times New Roman"/>
          <w:b/>
          <w:bCs/>
          <w:sz w:val="28"/>
          <w:szCs w:val="28"/>
        </w:rPr>
        <w:t>lập</w:t>
      </w:r>
      <w:proofErr w:type="spellEnd"/>
      <w:r w:rsidRPr="00A877CB">
        <w:rPr>
          <w:rFonts w:ascii="Times New Roman" w:hAnsi="Times New Roman" w:cs="Times New Roman"/>
          <w:b/>
          <w:bCs/>
          <w:sz w:val="28"/>
          <w:szCs w:val="28"/>
        </w:rPr>
        <w:t xml:space="preserve">  -</w:t>
      </w:r>
      <w:proofErr w:type="spellStart"/>
      <w:proofErr w:type="gramEnd"/>
      <w:r w:rsidRPr="00A877CB">
        <w:rPr>
          <w:rFonts w:ascii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A877CB">
        <w:rPr>
          <w:rFonts w:ascii="Times New Roman" w:hAnsi="Times New Roman" w:cs="Times New Roman"/>
          <w:b/>
          <w:bCs/>
          <w:sz w:val="28"/>
          <w:szCs w:val="28"/>
        </w:rPr>
        <w:t xml:space="preserve"> do – </w:t>
      </w:r>
      <w:proofErr w:type="spellStart"/>
      <w:r w:rsidRPr="00A877CB">
        <w:rPr>
          <w:rFonts w:ascii="Times New Roman" w:hAnsi="Times New Roman" w:cs="Times New Roman"/>
          <w:b/>
          <w:bCs/>
          <w:sz w:val="28"/>
          <w:szCs w:val="28"/>
        </w:rPr>
        <w:t>Hạnh</w:t>
      </w:r>
      <w:proofErr w:type="spellEnd"/>
      <w:r w:rsidRPr="00A87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877CB">
        <w:rPr>
          <w:rFonts w:ascii="Times New Roman" w:hAnsi="Times New Roman" w:cs="Times New Roman"/>
          <w:b/>
          <w:bCs/>
          <w:sz w:val="28"/>
          <w:szCs w:val="28"/>
        </w:rPr>
        <w:t>phúc</w:t>
      </w:r>
      <w:proofErr w:type="spellEnd"/>
      <w:r w:rsidRPr="00A877C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77CB">
        <w:rPr>
          <w:rFonts w:ascii="Times New Roman" w:hAnsi="Times New Roman" w:cs="Times New Roman"/>
          <w:sz w:val="28"/>
          <w:szCs w:val="28"/>
        </w:rPr>
        <w:tab/>
      </w:r>
    </w:p>
    <w:p w:rsidR="00D9034A" w:rsidRPr="00A877CB" w:rsidRDefault="00D9034A" w:rsidP="00D9034A">
      <w:pPr>
        <w:tabs>
          <w:tab w:val="center" w:pos="1980"/>
          <w:tab w:val="center" w:pos="756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77C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A877CB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877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877CB">
        <w:rPr>
          <w:rFonts w:ascii="Times New Roman" w:hAnsi="Times New Roman" w:cs="Times New Roman"/>
          <w:sz w:val="28"/>
          <w:szCs w:val="28"/>
        </w:rPr>
        <w:t xml:space="preserve">    /TTT-KD</w:t>
      </w:r>
      <w:r w:rsidRPr="00A877C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877CB">
        <w:rPr>
          <w:rFonts w:ascii="Times New Roman" w:hAnsi="Times New Roman" w:cs="Times New Roman"/>
          <w:i/>
          <w:sz w:val="28"/>
          <w:szCs w:val="28"/>
        </w:rPr>
        <w:t>Huyện</w:t>
      </w:r>
      <w:proofErr w:type="spellEnd"/>
      <w:r w:rsidRPr="00A877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877CB">
        <w:rPr>
          <w:rFonts w:ascii="Times New Roman" w:hAnsi="Times New Roman" w:cs="Times New Roman"/>
          <w:i/>
          <w:sz w:val="28"/>
          <w:szCs w:val="28"/>
        </w:rPr>
        <w:t>Hồng</w:t>
      </w:r>
      <w:proofErr w:type="spellEnd"/>
      <w:r w:rsidRPr="00A877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877CB">
        <w:rPr>
          <w:rFonts w:ascii="Times New Roman" w:hAnsi="Times New Roman" w:cs="Times New Roman"/>
          <w:i/>
          <w:sz w:val="28"/>
          <w:szCs w:val="28"/>
        </w:rPr>
        <w:t>Dân</w:t>
      </w:r>
      <w:proofErr w:type="spellEnd"/>
      <w:r w:rsidRPr="00A877C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877CB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A877CB">
        <w:rPr>
          <w:rFonts w:ascii="Times New Roman" w:hAnsi="Times New Roman" w:cs="Times New Roman"/>
          <w:i/>
          <w:sz w:val="28"/>
          <w:szCs w:val="28"/>
        </w:rPr>
        <w:t xml:space="preserve"> 20 </w:t>
      </w:r>
      <w:proofErr w:type="spellStart"/>
      <w:r w:rsidRPr="00A877CB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Pr="00A877C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08</w:t>
      </w:r>
      <w:r w:rsidRPr="00A877C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877CB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Pr="00A877CB">
        <w:rPr>
          <w:rFonts w:ascii="Times New Roman" w:hAnsi="Times New Roman" w:cs="Times New Roman"/>
          <w:i/>
          <w:sz w:val="28"/>
          <w:szCs w:val="28"/>
        </w:rPr>
        <w:t xml:space="preserve"> 2020</w:t>
      </w:r>
    </w:p>
    <w:p w:rsidR="00D9034A" w:rsidRDefault="00D9034A" w:rsidP="00D9034A">
      <w:pPr>
        <w:shd w:val="clear" w:color="auto" w:fill="FFFFFF"/>
        <w:spacing w:before="150" w:after="1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7CB">
        <w:rPr>
          <w:rFonts w:ascii="Times New Roman" w:hAnsi="Times New Roman" w:cs="Times New Roman"/>
          <w:b/>
          <w:sz w:val="28"/>
          <w:szCs w:val="28"/>
        </w:rPr>
        <w:t>TH</w:t>
      </w:r>
      <w:bookmarkStart w:id="0" w:name="_GoBack"/>
      <w:bookmarkEnd w:id="0"/>
      <w:r w:rsidRPr="00A877CB">
        <w:rPr>
          <w:rFonts w:ascii="Times New Roman" w:hAnsi="Times New Roman" w:cs="Times New Roman"/>
          <w:b/>
          <w:sz w:val="28"/>
          <w:szCs w:val="28"/>
        </w:rPr>
        <w:t>ÔNG TIN THUỐC</w:t>
      </w:r>
    </w:p>
    <w:p w:rsidR="00D9034A" w:rsidRDefault="00D9034A" w:rsidP="00D9034A">
      <w:pPr>
        <w:shd w:val="clear" w:color="auto" w:fill="FFFFFF"/>
        <w:spacing w:before="150" w:after="15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Kính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gửi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khoa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phòng</w:t>
      </w:r>
      <w:proofErr w:type="spellEnd"/>
    </w:p>
    <w:p w:rsidR="00D9034A" w:rsidRPr="00D9034A" w:rsidRDefault="00D9034A" w:rsidP="00D9034A">
      <w:pPr>
        <w:shd w:val="clear" w:color="auto" w:fill="FFFFFF"/>
        <w:spacing w:before="150" w:after="15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vi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khuẩn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kháng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kháng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nay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rất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phổ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biến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càng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nhiều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phức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tạp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Beta – lactamase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phổ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rộng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một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cách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kháng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vi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khuẩn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Khoa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Dược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– TTB – VTYT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xin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thông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tin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khoa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phòng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việc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kháng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này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như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395EA4" w:rsidRPr="00395EA4" w:rsidRDefault="00395EA4" w:rsidP="00395EA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Beta-lactamase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phổ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rộng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(ESBL)</w:t>
      </w:r>
    </w:p>
    <w:p w:rsidR="00395EA4" w:rsidRPr="00395EA4" w:rsidRDefault="00395EA4" w:rsidP="00B47C07">
      <w:pPr>
        <w:shd w:val="clear" w:color="auto" w:fill="FFFFFF"/>
        <w:spacing w:before="150" w:after="15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ESBL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enzyme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beta-lactam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penicillin, cephalosporin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monobactam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aztreonam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trùng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ESBL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EA4" w:rsidRPr="00395EA4" w:rsidRDefault="00395EA4" w:rsidP="00B47C07">
      <w:pPr>
        <w:shd w:val="clear" w:color="auto" w:fill="FFFFFF"/>
        <w:spacing w:before="150" w:after="15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Beta-lactamase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enzyme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beta-lactam,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ESBL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oxyimino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-beta-lactam (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ceftriaxon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cefotaxim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ceftazidim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cephamycins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cefoxitin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cefotetan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cefmetazol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carbapenem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imipenem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meropenem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doripenem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ertapenem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5EA4" w:rsidRPr="00395EA4" w:rsidRDefault="00395EA4" w:rsidP="00395E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A4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inline distT="0" distB="0" distL="0" distR="0" wp14:anchorId="26FFA011" wp14:editId="37AC6100">
                <wp:extent cx="304800" cy="304800"/>
                <wp:effectExtent l="0" t="0" r="0" b="0"/>
                <wp:docPr id="1" name="Rectangle 1" descr="https://www.tudu.com.vn/data/image/05%20-%202020/esb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www.tudu.com.vn/data/image/05%20-%202020/esbl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BNGjMfeAgAA+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395EA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B121902" wp14:editId="30566407">
            <wp:extent cx="4857750" cy="2790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EA4" w:rsidRPr="00395EA4" w:rsidRDefault="00395EA4" w:rsidP="00395EA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cephalosporin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oxyimino-aminothiazolyl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C=N-OR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beta-lactam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enzyme beta-lactamase,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ESBL.</w:t>
      </w:r>
    </w:p>
    <w:p w:rsidR="00395EA4" w:rsidRPr="00395EA4" w:rsidRDefault="00395EA4" w:rsidP="00B47C07">
      <w:pPr>
        <w:shd w:val="clear" w:color="auto" w:fill="FFFFFF"/>
        <w:spacing w:before="150" w:after="15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ESBL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gram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âm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>Klebsiella</w:t>
      </w:r>
      <w:proofErr w:type="spellEnd"/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pneumonia, </w:t>
      </w:r>
      <w:proofErr w:type="spellStart"/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>Klebsiella</w:t>
      </w:r>
      <w:proofErr w:type="spellEnd"/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>oxytoca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>Escherichia coli</w:t>
      </w:r>
      <w:r w:rsidRPr="00395EA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EA4">
        <w:rPr>
          <w:rFonts w:ascii="Times New Roman" w:eastAsia="Times New Roman" w:hAnsi="Times New Roman" w:cs="Times New Roman"/>
          <w:sz w:val="28"/>
          <w:szCs w:val="28"/>
        </w:rPr>
        <w:lastRenderedPageBreak/>
        <w:t>như </w:t>
      </w:r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>Acinetobacter</w:t>
      </w:r>
      <w:r w:rsidRPr="00395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>Burkholderia</w:t>
      </w:r>
      <w:r w:rsidRPr="00395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>Citrobacter</w:t>
      </w:r>
      <w:r w:rsidRPr="00395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>Enterobacter</w:t>
      </w:r>
      <w:r w:rsidRPr="00395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>Morganella</w:t>
      </w:r>
      <w:r w:rsidRPr="00395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>Proteus</w:t>
      </w:r>
      <w:r w:rsidRPr="00395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>Pseudomonas</w:t>
      </w:r>
      <w:r w:rsidRPr="00395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>Salmonella</w:t>
      </w:r>
      <w:r w:rsidRPr="00395EA4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>Serratia</w:t>
      </w:r>
      <w:r w:rsidRPr="00395EA4">
        <w:rPr>
          <w:rFonts w:ascii="Times New Roman" w:eastAsia="Times New Roman" w:hAnsi="Times New Roman" w:cs="Times New Roman"/>
          <w:sz w:val="28"/>
          <w:szCs w:val="28"/>
        </w:rPr>
        <w:t> và </w:t>
      </w:r>
      <w:r w:rsidRPr="00395EA4">
        <w:rPr>
          <w:rFonts w:ascii="Times New Roman" w:eastAsia="Times New Roman" w:hAnsi="Times New Roman" w:cs="Times New Roman"/>
          <w:i/>
          <w:iCs/>
          <w:sz w:val="28"/>
          <w:szCs w:val="28"/>
        </w:rPr>
        <w:t>Shigella</w:t>
      </w:r>
      <w:r w:rsidRPr="00395EA4">
        <w:rPr>
          <w:rFonts w:ascii="Times New Roman" w:eastAsia="Times New Roman" w:hAnsi="Times New Roman" w:cs="Times New Roman"/>
          <w:sz w:val="28"/>
          <w:szCs w:val="28"/>
        </w:rPr>
        <w:t> spp.</w:t>
      </w:r>
    </w:p>
    <w:p w:rsidR="00395EA4" w:rsidRPr="00395EA4" w:rsidRDefault="00395EA4" w:rsidP="00395EA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Yếu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tố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nguy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cơ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nhiễm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trùng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 </w:t>
      </w:r>
      <w:proofErr w:type="gram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vi</w:t>
      </w:r>
      <w:proofErr w:type="gram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ESBL</w:t>
      </w:r>
    </w:p>
    <w:p w:rsidR="00395EA4" w:rsidRPr="00395EA4" w:rsidRDefault="00395EA4" w:rsidP="00B47C07">
      <w:pPr>
        <w:shd w:val="clear" w:color="auto" w:fill="FFFFFF"/>
        <w:spacing w:before="150" w:after="15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tiêu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Enterobacteriacea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ESBL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tố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nguy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trùng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ESBL.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4965"/>
      </w:tblGrid>
      <w:tr w:rsidR="00395EA4" w:rsidRPr="00395EA4" w:rsidTr="00395EA4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Yếu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tố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Yếu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tố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cơ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trong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bệnh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viện</w:t>
            </w:r>
            <w:proofErr w:type="spellEnd"/>
          </w:p>
        </w:tc>
      </w:tr>
      <w:tr w:rsidR="00395EA4" w:rsidRPr="00395EA4" w:rsidTr="00395EA4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Nhiễm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trùng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</w:p>
        </w:tc>
      </w:tr>
      <w:tr w:rsidR="00395EA4" w:rsidRPr="00395EA4" w:rsidTr="00395EA4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kháng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kháng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cephalosporin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fluoroquinolon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trạng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tiến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nặng</w:t>
            </w:r>
            <w:proofErr w:type="spellEnd"/>
          </w:p>
        </w:tc>
      </w:tr>
      <w:tr w:rsidR="00395EA4" w:rsidRPr="00395EA4" w:rsidTr="00395EA4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corticosteroid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nằm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hồi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cực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dài</w:t>
            </w:r>
            <w:proofErr w:type="spellEnd"/>
          </w:p>
        </w:tc>
      </w:tr>
      <w:tr w:rsidR="00395EA4" w:rsidRPr="00395EA4" w:rsidTr="00395EA4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nhập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viện</w:t>
            </w:r>
            <w:proofErr w:type="spellEnd"/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</w:p>
        </w:tc>
      </w:tr>
      <w:tr w:rsidR="00395EA4" w:rsidRPr="00395EA4" w:rsidTr="00395EA4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lão</w:t>
            </w:r>
            <w:proofErr w:type="spellEnd"/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tiểu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</w:p>
        </w:tc>
      </w:tr>
      <w:tr w:rsidR="00395EA4" w:rsidRPr="00395EA4" w:rsidTr="00395EA4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tuổi</w:t>
            </w:r>
            <w:proofErr w:type="spellEnd"/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kháng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kháng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cephalosporin)</w:t>
            </w:r>
          </w:p>
        </w:tc>
      </w:tr>
      <w:tr w:rsidR="00395EA4" w:rsidRPr="00395EA4" w:rsidTr="00395EA4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Đái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tháo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tĩnh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</w:p>
        </w:tc>
      </w:tr>
      <w:tr w:rsidR="00395EA4" w:rsidRPr="00395EA4" w:rsidTr="00395EA4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nền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gan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thận</w:t>
            </w:r>
            <w:proofErr w:type="spellEnd"/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dạ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dày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da/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mở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hỗng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tràng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da</w:t>
            </w:r>
          </w:p>
        </w:tc>
      </w:tr>
      <w:tr w:rsidR="00395EA4" w:rsidRPr="00395EA4" w:rsidTr="00395EA4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da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Tái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ống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tiểu</w:t>
            </w:r>
            <w:proofErr w:type="spellEnd"/>
          </w:p>
        </w:tc>
      </w:tr>
      <w:tr w:rsidR="00395EA4" w:rsidRPr="00395EA4" w:rsidTr="00B47C07">
        <w:trPr>
          <w:trHeight w:val="771"/>
        </w:trPr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Du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lịch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châu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Á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Bắc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Phi)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5EA4" w:rsidRPr="00395EA4" w:rsidRDefault="00395EA4" w:rsidP="00FF008B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95EA4">
              <w:rPr>
                <w:rFonts w:ascii="Times New Roman" w:eastAsia="Times New Roman" w:hAnsi="Times New Roman" w:cs="Times New Roman"/>
                <w:sz w:val="28"/>
                <w:szCs w:val="28"/>
              </w:rPr>
              <w:t>máu</w:t>
            </w:r>
            <w:proofErr w:type="spellEnd"/>
          </w:p>
        </w:tc>
      </w:tr>
    </w:tbl>
    <w:p w:rsidR="00395EA4" w:rsidRPr="00395EA4" w:rsidRDefault="00395EA4" w:rsidP="00395EA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5EA4" w:rsidRPr="00395EA4" w:rsidRDefault="00395EA4" w:rsidP="00395EA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3. 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điều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trị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vi</w:t>
      </w:r>
      <w:proofErr w:type="gram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tiết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ESBL</w:t>
      </w:r>
    </w:p>
    <w:p w:rsidR="00395EA4" w:rsidRPr="00395EA4" w:rsidRDefault="00395EA4" w:rsidP="00395EA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sinh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nhóm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Carbapenem</w:t>
      </w:r>
      <w:proofErr w:type="spellEnd"/>
    </w:p>
    <w:p w:rsidR="00395EA4" w:rsidRPr="00395EA4" w:rsidRDefault="00395EA4" w:rsidP="00B47C07">
      <w:pPr>
        <w:shd w:val="clear" w:color="auto" w:fill="FFFFFF"/>
        <w:spacing w:before="150" w:after="15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Carbapenem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trùng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xâm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lấn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ESBL.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ESBL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carbapenem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sót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ràng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lastRenderedPageBreak/>
        <w:t>trị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imipenem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meropenem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yếu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Meropenem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ưu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thai</w:t>
      </w:r>
      <w:proofErr w:type="spellEnd"/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khả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kinh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ương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an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nữ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thai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imipenem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Meropenem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thận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thận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95EA4" w:rsidRPr="00395EA4" w:rsidRDefault="00395EA4" w:rsidP="00B47C07">
      <w:pPr>
        <w:shd w:val="clear" w:color="auto" w:fill="FFFFFF"/>
        <w:spacing w:before="150" w:after="15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Doripenem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ESBL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đương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meropenem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imipenem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EA4" w:rsidRPr="00395EA4" w:rsidRDefault="00395EA4" w:rsidP="00B47C07">
      <w:pPr>
        <w:shd w:val="clear" w:color="auto" w:fill="FFFFFF"/>
        <w:spacing w:before="150" w:after="15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Ertapenem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ưu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in vitro,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ertapenem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tăng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chủng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ESBL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ertapenem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EA4" w:rsidRPr="00395EA4" w:rsidRDefault="00395EA4" w:rsidP="00395EA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A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95EA4" w:rsidRPr="00395EA4" w:rsidRDefault="00395EA4" w:rsidP="00395EA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3.2. 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Piperacillin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Tazobactam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95EA4" w:rsidRPr="00395EA4" w:rsidRDefault="00395EA4" w:rsidP="00B47C07">
      <w:pPr>
        <w:shd w:val="clear" w:color="auto" w:fill="FFFFFF"/>
        <w:spacing w:before="150" w:after="15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khuyến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cáo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piperacillin-tazobactam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ESBL. </w:t>
      </w:r>
      <w:proofErr w:type="spellStart"/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piperacillin-tazobactam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lý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trùng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nồng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nồng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huyết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395EA4" w:rsidRPr="00395EA4" w:rsidRDefault="00395EA4" w:rsidP="00B47C07">
      <w:pPr>
        <w:shd w:val="clear" w:color="auto" w:fill="FFFFFF"/>
        <w:spacing w:before="150" w:after="15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mẫu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ESBL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MIC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mức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nhạy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piperacillin-tazobactam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piperacillin-tazobactam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carbapenem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EA4" w:rsidRPr="00395EA4" w:rsidRDefault="00395EA4" w:rsidP="00395EA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3.3. 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thuốc</w:t>
      </w:r>
      <w:proofErr w:type="spellEnd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b/>
          <w:bCs/>
          <w:sz w:val="28"/>
          <w:szCs w:val="28"/>
        </w:rPr>
        <w:t>khác</w:t>
      </w:r>
      <w:proofErr w:type="spellEnd"/>
    </w:p>
    <w:p w:rsidR="00395EA4" w:rsidRPr="00395EA4" w:rsidRDefault="00395EA4" w:rsidP="00B47C07">
      <w:pPr>
        <w:shd w:val="clear" w:color="auto" w:fill="FFFFFF"/>
        <w:spacing w:before="150" w:after="15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Cefepim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ESBL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nhạy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(2g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Plazomicin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ESBL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trị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nhiễm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trùng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phức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tạp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xảy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đối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aminoglycoside.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Ceftolozan-tazobactam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ceftazidim-avibactam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eravacyclin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tuy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nhiên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dữ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xác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so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carbapenem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cephamycin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chế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sử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phát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triển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395EA4">
        <w:rPr>
          <w:rFonts w:ascii="Times New Roman" w:eastAsia="Times New Roman" w:hAnsi="Times New Roman" w:cs="Times New Roman"/>
          <w:sz w:val="28"/>
          <w:szCs w:val="28"/>
        </w:rPr>
        <w:t>Vi</w:t>
      </w:r>
      <w:proofErr w:type="gram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khuẩn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ESBL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kháng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fluoroquinolon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EA4" w:rsidRPr="00395EA4" w:rsidRDefault="00395EA4" w:rsidP="00395EA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EA4">
        <w:rPr>
          <w:rFonts w:ascii="Times New Roman" w:eastAsia="Times New Roman" w:hAnsi="Times New Roman" w:cs="Times New Roman"/>
          <w:sz w:val="28"/>
          <w:szCs w:val="28"/>
        </w:rPr>
        <w:t>TÀI LIỆU THAM KHẢO</w:t>
      </w:r>
    </w:p>
    <w:p w:rsidR="00395EA4" w:rsidRPr="00395EA4" w:rsidRDefault="00395EA4" w:rsidP="00395EA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proofErr w:type="gramEnd"/>
      <w:r w:rsidR="00734FBF">
        <w:fldChar w:fldCharType="begin"/>
      </w:r>
      <w:r w:rsidR="00734FBF">
        <w:instrText xml:space="preserve"> HYPERLINK "https://www.uptodate.com/contents/extended-spectrum%20betalactamases?source=history_widget" </w:instrText>
      </w:r>
      <w:r w:rsidR="00734FBF">
        <w:fldChar w:fldCharType="separate"/>
      </w:r>
      <w:r w:rsidRPr="00395E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https://www.uptodate.com/contents/extended-spectrum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betalactamases?source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=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history_widget</w:t>
      </w:r>
      <w:proofErr w:type="spellEnd"/>
      <w:r w:rsidR="00734FB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fldChar w:fldCharType="end"/>
      </w:r>
    </w:p>
    <w:p w:rsidR="00395EA4" w:rsidRPr="00395EA4" w:rsidRDefault="00884FE9" w:rsidP="00395EA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proofErr w:type="gramEnd"/>
      <w:hyperlink r:id="rId6" w:history="1">
        <w:r w:rsidR="00395EA4" w:rsidRPr="00395EA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https://www.uspharmacist.com/article/the-pharmacists-role-in-treating-extendedspectrum-betalactamase-infections</w:t>
        </w:r>
      </w:hyperlink>
    </w:p>
    <w:p w:rsidR="00395EA4" w:rsidRDefault="00395EA4" w:rsidP="00395EA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D.M.Livermore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, (2018), </w:t>
      </w:r>
      <w:proofErr w:type="spellStart"/>
      <w:r w:rsidRPr="00395EA4">
        <w:rPr>
          <w:rFonts w:ascii="Times New Roman" w:eastAsia="Times New Roman" w:hAnsi="Times New Roman" w:cs="Times New Roman"/>
          <w:sz w:val="28"/>
          <w:szCs w:val="28"/>
        </w:rPr>
        <w:t>Difining</w:t>
      </w:r>
      <w:proofErr w:type="spellEnd"/>
      <w:r w:rsidRPr="00395EA4">
        <w:rPr>
          <w:rFonts w:ascii="Times New Roman" w:eastAsia="Times New Roman" w:hAnsi="Times New Roman" w:cs="Times New Roman"/>
          <w:sz w:val="28"/>
          <w:szCs w:val="28"/>
        </w:rPr>
        <w:t xml:space="preserve"> an extended-spectrum β-lactamase, Clinical Microbiology and Infection, 14 (1), pp. 3-10.</w:t>
      </w:r>
    </w:p>
    <w:p w:rsidR="00D9034A" w:rsidRPr="00395EA4" w:rsidRDefault="00D9034A" w:rsidP="00395EA4">
      <w:pPr>
        <w:shd w:val="clear" w:color="auto" w:fill="FFFFFF"/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7CB">
        <w:rPr>
          <w:rFonts w:ascii="Times New Roman" w:hAnsi="Times New Roman" w:cs="Times New Roman"/>
          <w:b/>
          <w:sz w:val="28"/>
          <w:szCs w:val="28"/>
        </w:rPr>
        <w:t>DUYỆT LÃNH ĐẠ</w:t>
      </w:r>
      <w:r>
        <w:rPr>
          <w:rFonts w:ascii="Times New Roman" w:hAnsi="Times New Roman" w:cs="Times New Roman"/>
          <w:b/>
          <w:sz w:val="28"/>
          <w:szCs w:val="28"/>
        </w:rPr>
        <w:t xml:space="preserve">O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P.KHNV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A877C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A877CB">
        <w:rPr>
          <w:rFonts w:ascii="Times New Roman" w:hAnsi="Times New Roman" w:cs="Times New Roman"/>
          <w:b/>
          <w:sz w:val="28"/>
          <w:szCs w:val="28"/>
        </w:rPr>
        <w:tab/>
        <w:t>TỔ THÔNG TIN</w:t>
      </w:r>
    </w:p>
    <w:p w:rsidR="00401602" w:rsidRPr="00395EA4" w:rsidRDefault="00401602" w:rsidP="00395EA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1602" w:rsidRPr="00395EA4" w:rsidSect="00734FBF">
      <w:pgSz w:w="11907" w:h="16839" w:code="9"/>
      <w:pgMar w:top="1134" w:right="794" w:bottom="1191" w:left="96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A4"/>
    <w:rsid w:val="00395EA4"/>
    <w:rsid w:val="003E4354"/>
    <w:rsid w:val="00401602"/>
    <w:rsid w:val="00734FBF"/>
    <w:rsid w:val="00884679"/>
    <w:rsid w:val="00884FE9"/>
    <w:rsid w:val="00B47C07"/>
    <w:rsid w:val="00B60369"/>
    <w:rsid w:val="00D903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5EA4"/>
    <w:rPr>
      <w:b/>
      <w:bCs/>
    </w:rPr>
  </w:style>
  <w:style w:type="character" w:styleId="Emphasis">
    <w:name w:val="Emphasis"/>
    <w:basedOn w:val="DefaultParagraphFont"/>
    <w:uiPriority w:val="20"/>
    <w:qFormat/>
    <w:rsid w:val="00395EA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5E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5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5EA4"/>
    <w:rPr>
      <w:b/>
      <w:bCs/>
    </w:rPr>
  </w:style>
  <w:style w:type="character" w:styleId="Emphasis">
    <w:name w:val="Emphasis"/>
    <w:basedOn w:val="DefaultParagraphFont"/>
    <w:uiPriority w:val="20"/>
    <w:qFormat/>
    <w:rsid w:val="00395EA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5E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spharmacist.com/article/the-pharmacists-role-in-treating-extendedspectrum-betalactamase-infection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2020-09-14T03:11:00Z</cp:lastPrinted>
  <dcterms:created xsi:type="dcterms:W3CDTF">2020-09-10T02:49:00Z</dcterms:created>
  <dcterms:modified xsi:type="dcterms:W3CDTF">2020-09-14T03:12:00Z</dcterms:modified>
</cp:coreProperties>
</file>