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20" w:rsidRDefault="00D12220" w:rsidP="00D12220">
      <w:pPr>
        <w:tabs>
          <w:tab w:val="center" w:pos="2160"/>
          <w:tab w:val="center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BC3" w:rsidRPr="00A877CB">
        <w:rPr>
          <w:rFonts w:ascii="Times New Roman" w:hAnsi="Times New Roman" w:cs="Times New Roman"/>
          <w:sz w:val="28"/>
          <w:szCs w:val="28"/>
        </w:rPr>
        <w:t>SỞ Y TẾ BẠ</w:t>
      </w:r>
      <w:r w:rsidR="00B43BC3">
        <w:rPr>
          <w:rFonts w:ascii="Times New Roman" w:hAnsi="Times New Roman" w:cs="Times New Roman"/>
          <w:sz w:val="28"/>
          <w:szCs w:val="28"/>
        </w:rPr>
        <w:t xml:space="preserve">C LIÊU  </w:t>
      </w:r>
      <w:r w:rsidR="00F963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3BC3">
        <w:rPr>
          <w:rFonts w:ascii="Times New Roman" w:hAnsi="Times New Roman" w:cs="Times New Roman"/>
          <w:sz w:val="28"/>
          <w:szCs w:val="28"/>
        </w:rPr>
        <w:t xml:space="preserve">    </w:t>
      </w:r>
      <w:r w:rsidR="00B43BC3" w:rsidRPr="00A877CB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 TRUNG TÂM Y TẾ HỒ</w:t>
      </w:r>
      <w:r w:rsidR="00B43BC3">
        <w:rPr>
          <w:rFonts w:ascii="Times New Roman" w:hAnsi="Times New Roman" w:cs="Times New Roman"/>
          <w:b/>
          <w:bCs/>
          <w:sz w:val="28"/>
          <w:szCs w:val="28"/>
        </w:rPr>
        <w:t xml:space="preserve">NG DÂN        </w:t>
      </w:r>
      <w:r w:rsidR="00B43BC3" w:rsidRPr="00A8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37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43BC3" w:rsidRPr="00A8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3BC3" w:rsidRPr="00D12220">
        <w:rPr>
          <w:rFonts w:ascii="Times New Roman" w:hAnsi="Times New Roman" w:cs="Times New Roman"/>
          <w:b/>
          <w:bCs/>
          <w:sz w:val="28"/>
          <w:szCs w:val="28"/>
          <w:u w:val="single"/>
        </w:rPr>
        <w:t>Độc</w:t>
      </w:r>
      <w:proofErr w:type="spellEnd"/>
      <w:r w:rsidR="00B43BC3" w:rsidRPr="00D122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B43BC3" w:rsidRPr="00D12220">
        <w:rPr>
          <w:rFonts w:ascii="Times New Roman" w:hAnsi="Times New Roman" w:cs="Times New Roman"/>
          <w:b/>
          <w:bCs/>
          <w:sz w:val="28"/>
          <w:szCs w:val="28"/>
          <w:u w:val="single"/>
        </w:rPr>
        <w:t>lập</w:t>
      </w:r>
      <w:proofErr w:type="spellEnd"/>
      <w:r w:rsidR="00B43BC3" w:rsidRPr="00D122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-</w:t>
      </w:r>
      <w:proofErr w:type="spellStart"/>
      <w:proofErr w:type="gramEnd"/>
      <w:r w:rsidR="00B43BC3" w:rsidRPr="00D12220">
        <w:rPr>
          <w:rFonts w:ascii="Times New Roman" w:hAnsi="Times New Roman" w:cs="Times New Roman"/>
          <w:b/>
          <w:bCs/>
          <w:sz w:val="28"/>
          <w:szCs w:val="28"/>
          <w:u w:val="single"/>
        </w:rPr>
        <w:t>Tự</w:t>
      </w:r>
      <w:proofErr w:type="spellEnd"/>
      <w:r w:rsidR="00B43BC3" w:rsidRPr="00D122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 – </w:t>
      </w:r>
      <w:proofErr w:type="spellStart"/>
      <w:r w:rsidR="00B43BC3" w:rsidRPr="00D12220">
        <w:rPr>
          <w:rFonts w:ascii="Times New Roman" w:hAnsi="Times New Roman" w:cs="Times New Roman"/>
          <w:b/>
          <w:bCs/>
          <w:sz w:val="28"/>
          <w:szCs w:val="28"/>
          <w:u w:val="single"/>
        </w:rPr>
        <w:t>Hạnh</w:t>
      </w:r>
      <w:proofErr w:type="spellEnd"/>
      <w:r w:rsidR="00B43BC3" w:rsidRPr="00D122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43BC3" w:rsidRPr="00D12220">
        <w:rPr>
          <w:rFonts w:ascii="Times New Roman" w:hAnsi="Times New Roman" w:cs="Times New Roman"/>
          <w:b/>
          <w:bCs/>
          <w:sz w:val="28"/>
          <w:szCs w:val="28"/>
          <w:u w:val="single"/>
        </w:rPr>
        <w:t>phúc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BC3" w:rsidRPr="00D12220" w:rsidRDefault="00D12220" w:rsidP="00D12220">
      <w:pPr>
        <w:tabs>
          <w:tab w:val="center" w:pos="2160"/>
          <w:tab w:val="center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43BC3" w:rsidRPr="00A877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43BC3" w:rsidRPr="00A877CB">
        <w:rPr>
          <w:rFonts w:ascii="Times New Roman" w:hAnsi="Times New Roman" w:cs="Times New Roman"/>
          <w:sz w:val="28"/>
          <w:szCs w:val="28"/>
        </w:rPr>
        <w:t>:</w:t>
      </w:r>
      <w:r w:rsidR="00B43BC3">
        <w:rPr>
          <w:rFonts w:ascii="Times New Roman" w:hAnsi="Times New Roman" w:cs="Times New Roman"/>
          <w:sz w:val="28"/>
          <w:szCs w:val="28"/>
        </w:rPr>
        <w:t xml:space="preserve">  </w:t>
      </w:r>
      <w:r w:rsidR="00B43BC3" w:rsidRPr="00A877CB">
        <w:rPr>
          <w:rFonts w:ascii="Times New Roman" w:hAnsi="Times New Roman" w:cs="Times New Roman"/>
          <w:sz w:val="28"/>
          <w:szCs w:val="28"/>
        </w:rPr>
        <w:t xml:space="preserve">    /TTT-KD</w:t>
      </w:r>
      <w:r w:rsidR="00B43BC3" w:rsidRPr="00A877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43BC3" w:rsidRPr="00A877CB"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 w:rsidR="00B43BC3"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3BC3" w:rsidRPr="00A877CB">
        <w:rPr>
          <w:rFonts w:ascii="Times New Roman" w:hAnsi="Times New Roman" w:cs="Times New Roman"/>
          <w:i/>
          <w:sz w:val="28"/>
          <w:szCs w:val="28"/>
        </w:rPr>
        <w:t>Hồng</w:t>
      </w:r>
      <w:proofErr w:type="spellEnd"/>
      <w:r w:rsidR="00B43BC3"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3BC3" w:rsidRPr="00A877CB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="00B43BC3" w:rsidRPr="00A877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43BC3" w:rsidRPr="00A877C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B43BC3" w:rsidRPr="00A877CB">
        <w:rPr>
          <w:rFonts w:ascii="Times New Roman" w:hAnsi="Times New Roman" w:cs="Times New Roman"/>
          <w:i/>
          <w:sz w:val="28"/>
          <w:szCs w:val="28"/>
        </w:rPr>
        <w:t xml:space="preserve"> 20 </w:t>
      </w:r>
      <w:proofErr w:type="spellStart"/>
      <w:r w:rsidR="00B43BC3" w:rsidRPr="00A877CB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B43BC3"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D24">
        <w:rPr>
          <w:rFonts w:ascii="Times New Roman" w:hAnsi="Times New Roman" w:cs="Times New Roman"/>
          <w:i/>
          <w:sz w:val="28"/>
          <w:szCs w:val="28"/>
        </w:rPr>
        <w:t>7</w:t>
      </w:r>
      <w:r w:rsidR="00B43BC3"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3BC3" w:rsidRPr="00A877C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B43BC3" w:rsidRPr="00A877CB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B43BC3" w:rsidRPr="00D12220" w:rsidRDefault="00B43BC3" w:rsidP="00D12220">
      <w:pPr>
        <w:tabs>
          <w:tab w:val="center" w:pos="1980"/>
          <w:tab w:val="center" w:pos="7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CB">
        <w:rPr>
          <w:rFonts w:ascii="Times New Roman" w:hAnsi="Times New Roman" w:cs="Times New Roman"/>
          <w:b/>
          <w:sz w:val="28"/>
          <w:szCs w:val="28"/>
        </w:rPr>
        <w:t>THÔNG TIN THUỐC</w:t>
      </w:r>
    </w:p>
    <w:p w:rsidR="00B43BC3" w:rsidRPr="00A877CB" w:rsidRDefault="00B43BC3" w:rsidP="00B43BC3">
      <w:pPr>
        <w:rPr>
          <w:rFonts w:ascii="Times New Roman" w:hAnsi="Times New Roman" w:cs="Times New Roman"/>
          <w:sz w:val="28"/>
          <w:szCs w:val="28"/>
        </w:rPr>
      </w:pPr>
      <w:r w:rsidRPr="00A877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044A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B50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5044A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Pr="00B504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p w:rsidR="00B43BC3" w:rsidRDefault="00B43BC3" w:rsidP="00B43BC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877C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-TTB-VTYT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7C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nguồ</w:t>
      </w:r>
      <w:r w:rsidR="00504C9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0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C9B" w:rsidRPr="00504C9B">
        <w:rPr>
          <w:rFonts w:ascii="Times New Roman" w:hAnsi="Times New Roman" w:cs="Times New Roman"/>
          <w:sz w:val="28"/>
          <w:szCs w:val="28"/>
        </w:rPr>
        <w:t>medscape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. Chi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>:</w:t>
      </w:r>
    </w:p>
    <w:p w:rsidR="00B73927" w:rsidRDefault="00B73927" w:rsidP="00B43B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520BF" w:rsidRPr="00B520BF" w:rsidRDefault="00B520BF" w:rsidP="00504C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táo</w:t>
      </w:r>
      <w:proofErr w:type="spellEnd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bón</w:t>
      </w:r>
      <w:proofErr w:type="spellEnd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do </w:t>
      </w:r>
      <w:proofErr w:type="spellStart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giảm</w:t>
      </w:r>
      <w:proofErr w:type="spellEnd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đau</w:t>
      </w:r>
      <w:proofErr w:type="spellEnd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nhóm</w:t>
      </w:r>
      <w:proofErr w:type="spellEnd"/>
      <w:r w:rsidRPr="00B52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opioid</w:t>
      </w:r>
    </w:p>
    <w:p w:rsidR="00B520BF" w:rsidRPr="00B520BF" w:rsidRDefault="00B520BF" w:rsidP="008F0219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opioid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ngưng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opioid (OIC)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hầu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nửa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opioid.</w:t>
      </w:r>
    </w:p>
    <w:p w:rsidR="00B520BF" w:rsidRPr="00B520BF" w:rsidRDefault="00B520BF" w:rsidP="008F0219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chế</w:t>
      </w:r>
      <w:proofErr w:type="spellEnd"/>
    </w:p>
    <w:p w:rsidR="00B520BF" w:rsidRPr="00B520BF" w:rsidRDefault="00B520BF" w:rsidP="00B520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opioid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muy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ruột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rỗng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dạ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dày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ruột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opioid.</w:t>
      </w:r>
      <w:proofErr w:type="gramEnd"/>
    </w:p>
    <w:p w:rsidR="00B520BF" w:rsidRPr="00B520BF" w:rsidRDefault="00B520BF" w:rsidP="00B520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opioid. </w:t>
      </w:r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Theo American Academy of Pain Medicine,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morphine, hydrocodone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hydromorphone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opioid qua da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opiod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mối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chặt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chẽ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520BF" w:rsidRPr="00B520BF" w:rsidRDefault="00B520BF" w:rsidP="00B520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ung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0BF" w:rsidRPr="00B520BF" w:rsidRDefault="00B520BF" w:rsidP="008F0219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ban </w:t>
      </w:r>
      <w:proofErr w:type="spellStart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đầu</w:t>
      </w:r>
      <w:proofErr w:type="spellEnd"/>
    </w:p>
    <w:p w:rsidR="00B520BF" w:rsidRPr="00B520BF" w:rsidRDefault="00B520BF" w:rsidP="00B520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xơ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BC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="00B43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BC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B43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BC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B43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BC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B43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BC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mãn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opioid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opioid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520BF" w:rsidRPr="00B520BF" w:rsidRDefault="00B520BF" w:rsidP="00B520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opiod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Bisacodyl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ruột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senna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hoăc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thấu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(polyethylene glycol)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520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thấu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chuột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OIC.</w:t>
      </w:r>
    </w:p>
    <w:p w:rsidR="00B520BF" w:rsidRPr="00B520BF" w:rsidRDefault="00B520BF" w:rsidP="00B520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lastRenderedPageBreak/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ruột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 so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khoáng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(AGA).</w:t>
      </w:r>
      <w:proofErr w:type="gramEnd"/>
    </w:p>
    <w:p w:rsidR="00B520BF" w:rsidRPr="00B520BF" w:rsidRDefault="00B520BF" w:rsidP="008F0219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khẩn</w:t>
      </w:r>
      <w:proofErr w:type="spellEnd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cấp</w:t>
      </w:r>
      <w:proofErr w:type="spellEnd"/>
    </w:p>
    <w:p w:rsidR="00B520BF" w:rsidRPr="00B520BF" w:rsidRDefault="00B520BF" w:rsidP="00B520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muy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methylnaltrexone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naldemedien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naloxegol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lubiprostone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chloride).</w:t>
      </w:r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off-label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prucalopride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serotonin 5-HT</w:t>
      </w:r>
      <w:r w:rsidRPr="00B520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0BF" w:rsidRPr="00B520BF" w:rsidRDefault="00B520BF" w:rsidP="00B520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muy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lubiprostone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prucalopride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dữ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ủng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lubiprostone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prucalopride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520BF" w:rsidRPr="00B520BF" w:rsidRDefault="00B520BF" w:rsidP="00B520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sánh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sánh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dữ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thấp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gộp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methylnaltrexone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OIC.</w:t>
      </w:r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Dữ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ngẫu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lubiprostone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naloxegol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methylnaltrexone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thấp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methylnaltrexone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tiêm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da.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methylnaltrexone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OIC.</w:t>
      </w:r>
      <w:proofErr w:type="gramEnd"/>
    </w:p>
    <w:p w:rsidR="00B520BF" w:rsidRPr="00B520BF" w:rsidRDefault="00B520BF" w:rsidP="008F021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OIC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0B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trĩ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vón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ruột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20B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520BF">
        <w:rPr>
          <w:rFonts w:ascii="Times New Roman" w:eastAsia="Times New Roman" w:hAnsi="Times New Roman" w:cs="Times New Roman"/>
          <w:sz w:val="28"/>
          <w:szCs w:val="28"/>
        </w:rPr>
        <w:t xml:space="preserve"> opioid.</w:t>
      </w:r>
    </w:p>
    <w:p w:rsidR="00B520BF" w:rsidRPr="00B520BF" w:rsidRDefault="00B520BF" w:rsidP="00B520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BF">
        <w:rPr>
          <w:rFonts w:ascii="Times New Roman" w:eastAsia="Times New Roman" w:hAnsi="Times New Roman" w:cs="Times New Roman"/>
          <w:b/>
          <w:bCs/>
          <w:sz w:val="28"/>
          <w:szCs w:val="28"/>
        </w:rPr>
        <w:t>TÀI LIỆU THAM KHẢO</w:t>
      </w:r>
    </w:p>
    <w:p w:rsidR="00B520BF" w:rsidRPr="00B520BF" w:rsidRDefault="00F9637F" w:rsidP="00B520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anchor="vp_2" w:history="1">
        <w:r w:rsidR="00B520BF" w:rsidRPr="00B520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https://www.medscape.com/viewarticle/918489#vp_2</w:t>
        </w:r>
      </w:hyperlink>
    </w:p>
    <w:p w:rsidR="00401602" w:rsidRPr="00B520BF" w:rsidRDefault="00F96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0219" w:rsidRPr="00A877CB">
        <w:rPr>
          <w:rFonts w:ascii="Times New Roman" w:hAnsi="Times New Roman" w:cs="Times New Roman"/>
          <w:b/>
          <w:sz w:val="28"/>
          <w:szCs w:val="28"/>
        </w:rPr>
        <w:t>DUYỆT LÃNH ĐẠ</w:t>
      </w:r>
      <w:r w:rsidR="008F0219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8F0219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02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F0219">
        <w:rPr>
          <w:rFonts w:ascii="Times New Roman" w:hAnsi="Times New Roman" w:cs="Times New Roman"/>
          <w:b/>
          <w:sz w:val="28"/>
          <w:szCs w:val="28"/>
        </w:rPr>
        <w:t xml:space="preserve">      P.KHNV</w:t>
      </w:r>
      <w:r w:rsidR="008F021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021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0219" w:rsidRPr="00A877CB">
        <w:rPr>
          <w:rFonts w:ascii="Times New Roman" w:hAnsi="Times New Roman" w:cs="Times New Roman"/>
          <w:b/>
          <w:sz w:val="28"/>
          <w:szCs w:val="28"/>
        </w:rPr>
        <w:tab/>
        <w:t>TỔ THÔNG TIN</w:t>
      </w:r>
    </w:p>
    <w:sectPr w:rsidR="00401602" w:rsidRPr="00B520BF" w:rsidSect="00F9637F">
      <w:pgSz w:w="11907" w:h="16839" w:code="9"/>
      <w:pgMar w:top="1247" w:right="737" w:bottom="1418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BF"/>
    <w:rsid w:val="00030D24"/>
    <w:rsid w:val="003E4354"/>
    <w:rsid w:val="00401602"/>
    <w:rsid w:val="00504C9B"/>
    <w:rsid w:val="008F0219"/>
    <w:rsid w:val="00A44A22"/>
    <w:rsid w:val="00B43BC3"/>
    <w:rsid w:val="00B520BF"/>
    <w:rsid w:val="00B73927"/>
    <w:rsid w:val="00D12220"/>
    <w:rsid w:val="00F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5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0BF"/>
    <w:rPr>
      <w:b/>
      <w:bCs/>
    </w:rPr>
  </w:style>
  <w:style w:type="character" w:styleId="Emphasis">
    <w:name w:val="Emphasis"/>
    <w:basedOn w:val="DefaultParagraphFont"/>
    <w:uiPriority w:val="20"/>
    <w:qFormat/>
    <w:rsid w:val="00B520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2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5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0BF"/>
    <w:rPr>
      <w:b/>
      <w:bCs/>
    </w:rPr>
  </w:style>
  <w:style w:type="character" w:styleId="Emphasis">
    <w:name w:val="Emphasis"/>
    <w:basedOn w:val="DefaultParagraphFont"/>
    <w:uiPriority w:val="20"/>
    <w:qFormat/>
    <w:rsid w:val="00B520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2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scape.com/viewarticle/9184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0FCC-6242-4AA7-91B4-9296BD3E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2020-09-14T03:12:00Z</cp:lastPrinted>
  <dcterms:created xsi:type="dcterms:W3CDTF">2020-09-10T03:04:00Z</dcterms:created>
  <dcterms:modified xsi:type="dcterms:W3CDTF">2020-09-14T03:14:00Z</dcterms:modified>
</cp:coreProperties>
</file>